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Vetlanda kommunfullmäktige</w:t>
      </w:r>
    </w:p>
    <w:p>
      <w:pPr>
        <w:pStyle w:val="Heading1"/>
      </w:pPr>
      <w:r>
        <w:t xml:space="preserve">Ökat underhåll av grusvägar och gång- och cykelvägar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Vetlanda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grusvägar och cykelvägar är i dåligt skick enligt kommunens väginventering 2025. Detta påverkar trafiksäkerhet, framkomlighet och näringslivets transporter.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Vetlanda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tekniska nämnden får i uppdrag att ta fram en underhållsplan för grusvägar och gc-vägar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budgetmedel ökas för vägunderhåll från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prioritering görs för vägar med skol- och arbetspendling.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tekniska nämnden redovisar genomförda åtgärder årligen.</w:t>
      </w:r>
    </w:p>
    <w:p>
      <w:pPr>
        <w:spacing w:before="360"/>
      </w:pPr>
    </w:p>
    <w:p>
      <w:r>
        <w:t xml:space="preserve">Vetlanda,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Vetlanda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2026-07-14T01:49:29.079Z</dcterms:created>
  <dcterms:modified xsi:type="dcterms:W3CDTF">2026-07-14T01:49:29.079Z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